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5145"/>
      </w:tblGrid>
      <w:tr w:rsidR="00DC50D7" w:rsidRPr="00E0277C" w:rsidTr="000A63B4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0D7" w:rsidRPr="00E0277C" w:rsidRDefault="00DC50D7" w:rsidP="000A63B4">
            <w:pPr>
              <w:tabs>
                <w:tab w:val="center" w:pos="4677"/>
                <w:tab w:val="right" w:pos="9355"/>
              </w:tabs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7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DD494D" wp14:editId="3851B8EF">
                  <wp:extent cx="714375" cy="733425"/>
                  <wp:effectExtent l="0" t="0" r="9525" b="9525"/>
                  <wp:docPr id="4" name="Рисунок 4" descr="Описание: Gerb_Altay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ltay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0D7" w:rsidRPr="00E0277C" w:rsidRDefault="00DC50D7" w:rsidP="000A63B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50D7" w:rsidRPr="00E0277C" w:rsidTr="000A63B4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0D7" w:rsidRPr="00E0277C" w:rsidRDefault="00DC50D7" w:rsidP="000A63B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АДМИНИСТРАЦИЯ </w:t>
            </w:r>
            <w:r w:rsidR="004927AD" w:rsidRPr="00E0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БЛАГОВЕЩЕНСКОГО</w:t>
            </w:r>
            <w:r w:rsidRPr="00E0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ПОССОВЕТА</w:t>
            </w:r>
          </w:p>
          <w:p w:rsidR="00DC50D7" w:rsidRPr="00E0277C" w:rsidRDefault="00DC50D7" w:rsidP="000A63B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БЛАГОВЕЩЕНСКОГО РАЙОНА АЛТАЙСКОГО КРАЯ</w:t>
            </w:r>
          </w:p>
          <w:p w:rsidR="00DC50D7" w:rsidRPr="00E0277C" w:rsidRDefault="00DC50D7" w:rsidP="000A63B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50D7" w:rsidRPr="00E0277C" w:rsidTr="000A63B4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50D7" w:rsidRPr="00E0277C" w:rsidRDefault="00DE2A89" w:rsidP="00CF674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27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DC50D7" w:rsidRPr="00E0277C" w:rsidRDefault="00DC50D7" w:rsidP="000A63B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C50D7" w:rsidRPr="00E0277C" w:rsidTr="000A63B4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50D7" w:rsidRPr="00E0277C" w:rsidRDefault="004C45C4" w:rsidP="00B51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02.12</w:t>
            </w:r>
            <w:r w:rsidR="00DD5ED5" w:rsidRPr="00E0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50D7" w:rsidRPr="00E0277C" w:rsidRDefault="00DC50D7" w:rsidP="00B51B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№</w:t>
            </w:r>
            <w:r w:rsidR="0083573C" w:rsidRPr="00E0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0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</w:tr>
      <w:tr w:rsidR="00DC50D7" w:rsidRPr="00E0277C" w:rsidTr="000A63B4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C50D7" w:rsidRPr="00E0277C" w:rsidRDefault="00DC50D7" w:rsidP="00DA726A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="004927AD" w:rsidRPr="00E0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 </w:t>
            </w:r>
            <w:r w:rsidR="004927AD" w:rsidRPr="00E027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Благовещенка</w:t>
            </w:r>
          </w:p>
        </w:tc>
      </w:tr>
    </w:tbl>
    <w:p w:rsidR="00DC50D7" w:rsidRPr="00E0277C" w:rsidRDefault="00DC50D7" w:rsidP="00DC50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DC50D7" w:rsidRPr="00E0277C" w:rsidTr="000A63B4">
        <w:trPr>
          <w:jc w:val="center"/>
        </w:trPr>
        <w:tc>
          <w:tcPr>
            <w:tcW w:w="9571" w:type="dxa"/>
            <w:hideMark/>
          </w:tcPr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10060"/>
            </w:tblGrid>
            <w:tr w:rsidR="00DC50D7" w:rsidRPr="00E0277C" w:rsidTr="000A63B4">
              <w:tc>
                <w:tcPr>
                  <w:tcW w:w="10060" w:type="dxa"/>
                  <w:hideMark/>
                </w:tcPr>
                <w:p w:rsidR="00067D7E" w:rsidRPr="00E0277C" w:rsidRDefault="00DC50D7" w:rsidP="00434F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027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Об утверждении Программы профилактики рисков причинения вреда (ущерба) охраняемым законом ценностям при осуществлении </w:t>
                  </w:r>
                  <w:r w:rsidRPr="00E02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муниципального жилищного контроля на террит</w:t>
                  </w:r>
                  <w:r w:rsidR="004927AD" w:rsidRPr="00E02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ории муниципального образования</w:t>
                  </w:r>
                  <w:r w:rsidR="00BD3335" w:rsidRPr="00E02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городское поселение</w:t>
                  </w:r>
                  <w:r w:rsidR="004927AD" w:rsidRPr="00E02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Благовещенский</w:t>
                  </w:r>
                  <w:r w:rsidRPr="00E0277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поссовет Благовещенского района Алтайского края</w:t>
                  </w:r>
                  <w:r w:rsidRPr="00E027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DC50D7" w:rsidRPr="00E0277C" w:rsidRDefault="00067D7E" w:rsidP="00067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027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</w:t>
                  </w:r>
                  <w:r w:rsidR="00DC50D7" w:rsidRPr="00E027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Pr="00E027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DC50D7" w:rsidRPr="00E027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202</w:t>
                  </w:r>
                  <w:r w:rsidR="00DD5ED5" w:rsidRPr="00E027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="0083573C" w:rsidRPr="00E0277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год</w:t>
                  </w:r>
                </w:p>
                <w:p w:rsidR="00DC50D7" w:rsidRPr="00E0277C" w:rsidRDefault="00DC50D7" w:rsidP="008712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C50D7" w:rsidRPr="00E0277C" w:rsidRDefault="00DC50D7" w:rsidP="000A63B4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50D7" w:rsidRPr="00E0277C" w:rsidRDefault="00DC50D7" w:rsidP="00DC50D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277C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31.07.2020 № 248-ФЗ "О государственном контроле (надзоре) и муниципальном контроле в Российской Федерации", Постановлением Правительства РФ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Уставом муниципального образования</w:t>
      </w:r>
      <w:r w:rsidR="00BD3335" w:rsidRPr="00E0277C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</w:t>
      </w:r>
      <w:r w:rsidRPr="00E0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7AD" w:rsidRPr="00E0277C">
        <w:rPr>
          <w:rFonts w:ascii="Times New Roman" w:eastAsia="Times New Roman" w:hAnsi="Times New Roman" w:cs="Times New Roman"/>
          <w:sz w:val="24"/>
          <w:szCs w:val="24"/>
        </w:rPr>
        <w:t>Благовещенский</w:t>
      </w:r>
      <w:r w:rsidRPr="00E0277C">
        <w:rPr>
          <w:rFonts w:ascii="Times New Roman" w:eastAsia="Times New Roman" w:hAnsi="Times New Roman" w:cs="Times New Roman"/>
          <w:sz w:val="24"/>
          <w:szCs w:val="24"/>
        </w:rPr>
        <w:t xml:space="preserve"> поссовет Благовещенского района Алтайского края </w:t>
      </w:r>
      <w:proofErr w:type="gramEnd"/>
    </w:p>
    <w:p w:rsidR="00DC50D7" w:rsidRPr="00E0277C" w:rsidRDefault="00DC50D7" w:rsidP="00DC50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02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E027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Я Ю:</w:t>
      </w:r>
    </w:p>
    <w:p w:rsidR="00DC50D7" w:rsidRPr="00E0277C" w:rsidRDefault="00DC50D7" w:rsidP="00CF674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3573C" w:rsidRPr="00E0277C" w:rsidRDefault="00DC50D7" w:rsidP="00CF674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77C">
        <w:rPr>
          <w:rFonts w:ascii="Times New Roman" w:eastAsia="Times New Roman" w:hAnsi="Times New Roman" w:cs="Times New Roman"/>
          <w:sz w:val="24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 на территории муниципального образования</w:t>
      </w:r>
      <w:r w:rsidR="00BD3335" w:rsidRPr="00E0277C">
        <w:rPr>
          <w:rFonts w:ascii="Times New Roman" w:eastAsia="Times New Roman" w:hAnsi="Times New Roman" w:cs="Times New Roman"/>
          <w:sz w:val="24"/>
          <w:szCs w:val="24"/>
        </w:rPr>
        <w:t xml:space="preserve"> городское поселение</w:t>
      </w:r>
      <w:r w:rsidRPr="00E0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7AD" w:rsidRPr="00E0277C">
        <w:rPr>
          <w:rFonts w:ascii="Times New Roman" w:hAnsi="Times New Roman" w:cs="Times New Roman"/>
          <w:sz w:val="24"/>
          <w:szCs w:val="24"/>
        </w:rPr>
        <w:t>Благовещенский</w:t>
      </w:r>
      <w:r w:rsidRPr="00E0277C">
        <w:rPr>
          <w:rFonts w:ascii="Times New Roman" w:hAnsi="Times New Roman" w:cs="Times New Roman"/>
          <w:sz w:val="24"/>
          <w:szCs w:val="24"/>
        </w:rPr>
        <w:t xml:space="preserve"> поссовет Благовещенского района Алтайского края</w:t>
      </w:r>
      <w:r w:rsidR="0083573C" w:rsidRPr="00E0277C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Pr="00E0277C">
        <w:rPr>
          <w:rFonts w:ascii="Times New Roman" w:eastAsia="Calibri" w:hAnsi="Times New Roman" w:cs="Times New Roman"/>
          <w:sz w:val="24"/>
          <w:szCs w:val="24"/>
        </w:rPr>
        <w:t>202</w:t>
      </w:r>
      <w:r w:rsidR="00DD5ED5" w:rsidRPr="00E0277C">
        <w:rPr>
          <w:rFonts w:ascii="Times New Roman" w:eastAsia="Calibri" w:hAnsi="Times New Roman" w:cs="Times New Roman"/>
          <w:sz w:val="24"/>
          <w:szCs w:val="24"/>
        </w:rPr>
        <w:t>6</w:t>
      </w:r>
      <w:r w:rsidR="0083573C" w:rsidRPr="00E0277C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E0277C">
        <w:rPr>
          <w:rFonts w:ascii="Times New Roman" w:eastAsia="Calibri" w:hAnsi="Times New Roman" w:cs="Times New Roman"/>
          <w:sz w:val="24"/>
          <w:szCs w:val="24"/>
        </w:rPr>
        <w:t>, согласно Приложению</w:t>
      </w:r>
    </w:p>
    <w:p w:rsidR="00DC50D7" w:rsidRPr="00E0277C" w:rsidRDefault="0083573C" w:rsidP="00CF67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77C">
        <w:rPr>
          <w:rFonts w:ascii="Times New Roman" w:eastAsia="Calibri" w:hAnsi="Times New Roman" w:cs="Times New Roman"/>
          <w:sz w:val="24"/>
          <w:szCs w:val="24"/>
        </w:rPr>
        <w:t>2. Постановление Администрации Благовещенского поссовета Благовещенск</w:t>
      </w:r>
      <w:r w:rsidR="00DD5ED5" w:rsidRPr="00E0277C">
        <w:rPr>
          <w:rFonts w:ascii="Times New Roman" w:eastAsia="Calibri" w:hAnsi="Times New Roman" w:cs="Times New Roman"/>
          <w:sz w:val="24"/>
          <w:szCs w:val="24"/>
        </w:rPr>
        <w:t>ого района Алтайского края от 08.11.2024 года № 233</w:t>
      </w:r>
      <w:r w:rsidRPr="00E0277C">
        <w:rPr>
          <w:rFonts w:ascii="Times New Roman" w:eastAsia="Calibri" w:hAnsi="Times New Roman" w:cs="Times New Roman"/>
          <w:sz w:val="24"/>
          <w:szCs w:val="24"/>
        </w:rPr>
        <w:t xml:space="preserve"> признать утратившим силу.</w:t>
      </w:r>
    </w:p>
    <w:p w:rsidR="00CF674B" w:rsidRPr="00E0277C" w:rsidRDefault="0083573C" w:rsidP="004927A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027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CF674B" w:rsidRPr="00E027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927AD" w:rsidRPr="00E0277C">
        <w:rPr>
          <w:rFonts w:ascii="Times New Roman" w:eastAsia="Times New Roman" w:hAnsi="Times New Roman" w:cs="Times New Roman"/>
          <w:sz w:val="24"/>
          <w:szCs w:val="24"/>
        </w:rPr>
        <w:t xml:space="preserve"> Опубликовать настоящее постановление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</w:t>
      </w:r>
      <w:r w:rsidR="00CF674B" w:rsidRPr="00E0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674B" w:rsidRPr="00E0277C" w:rsidRDefault="0083573C" w:rsidP="004927AD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0277C">
        <w:rPr>
          <w:rFonts w:ascii="Times New Roman" w:eastAsia="Times New Roman" w:hAnsi="Times New Roman" w:cs="Times New Roman"/>
          <w:sz w:val="24"/>
          <w:szCs w:val="24"/>
        </w:rPr>
        <w:t>4</w:t>
      </w:r>
      <w:r w:rsidR="00CF674B" w:rsidRPr="00E0277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CF674B" w:rsidRPr="00E0277C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CF674B" w:rsidRPr="00E0277C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</w:t>
      </w:r>
      <w:r w:rsidR="004927AD" w:rsidRPr="00E0277C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постановления возложить на заместителя главы по Благоустройству Администрации Благовещенского поссовета (Р. Р. Киреева).</w:t>
      </w:r>
    </w:p>
    <w:p w:rsidR="00CF674B" w:rsidRPr="00E0277C" w:rsidRDefault="00CF674B" w:rsidP="00CF674B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F674B" w:rsidRPr="00E0277C" w:rsidRDefault="00CF674B" w:rsidP="00CF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4927AD" w:rsidRPr="00E02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E02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4927AD" w:rsidRPr="00E02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02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927AD" w:rsidRPr="00E0277C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Н. Князева</w:t>
      </w:r>
      <w:r w:rsidRPr="00E02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4927AD" w:rsidRPr="00E02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F674B" w:rsidRPr="00E0277C" w:rsidRDefault="00CF674B" w:rsidP="00CF67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74B" w:rsidRPr="00E0277C" w:rsidRDefault="004927AD" w:rsidP="00CF674B">
      <w:pPr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Благовещенского поссовета</w:t>
      </w:r>
    </w:p>
    <w:p w:rsidR="00CF674B" w:rsidRPr="00E0277C" w:rsidRDefault="004927AD" w:rsidP="00CF674B">
      <w:pPr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 xml:space="preserve">Ю. А. </w:t>
      </w:r>
      <w:proofErr w:type="spellStart"/>
      <w:r w:rsidRPr="00E0277C">
        <w:rPr>
          <w:rFonts w:ascii="Times New Roman" w:hAnsi="Times New Roman" w:cs="Times New Roman"/>
          <w:sz w:val="24"/>
          <w:szCs w:val="24"/>
        </w:rPr>
        <w:t>Иост</w:t>
      </w:r>
      <w:proofErr w:type="spellEnd"/>
      <w:r w:rsidR="00BD3335" w:rsidRPr="00E0277C">
        <w:rPr>
          <w:rFonts w:ascii="Times New Roman" w:hAnsi="Times New Roman" w:cs="Times New Roman"/>
          <w:sz w:val="24"/>
          <w:szCs w:val="24"/>
        </w:rPr>
        <w:t xml:space="preserve"> 8(38564) 21-1-73</w:t>
      </w:r>
    </w:p>
    <w:p w:rsidR="00DC50D7" w:rsidRPr="00E0277C" w:rsidRDefault="00DC50D7" w:rsidP="00067D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0D7" w:rsidRPr="00E0277C" w:rsidRDefault="00DC50D7" w:rsidP="00DC50D7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0277C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DC50D7" w:rsidRPr="00E0277C" w:rsidRDefault="00DC50D7" w:rsidP="00DC50D7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0277C">
        <w:rPr>
          <w:rFonts w:ascii="Times New Roman" w:eastAsia="Calibri" w:hAnsi="Times New Roman" w:cs="Times New Roman"/>
          <w:sz w:val="24"/>
          <w:szCs w:val="24"/>
        </w:rPr>
        <w:t xml:space="preserve">УТВЕРЖДЕНА </w:t>
      </w:r>
    </w:p>
    <w:p w:rsidR="00DC50D7" w:rsidRPr="00E0277C" w:rsidRDefault="00DC50D7" w:rsidP="00DC50D7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0277C">
        <w:rPr>
          <w:rFonts w:ascii="Times New Roman" w:eastAsia="Calibri" w:hAnsi="Times New Roman" w:cs="Times New Roman"/>
          <w:sz w:val="24"/>
          <w:szCs w:val="24"/>
        </w:rPr>
        <w:t xml:space="preserve">постановлением  Администрации  </w:t>
      </w:r>
    </w:p>
    <w:p w:rsidR="00DC50D7" w:rsidRPr="00E0277C" w:rsidRDefault="004927AD" w:rsidP="00DC50D7">
      <w:pPr>
        <w:keepNext/>
        <w:keepLines/>
        <w:spacing w:line="259" w:lineRule="auto"/>
        <w:ind w:left="383" w:right="-1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0277C">
        <w:rPr>
          <w:rFonts w:ascii="Times New Roman" w:eastAsia="Calibri" w:hAnsi="Times New Roman" w:cs="Times New Roman"/>
          <w:sz w:val="24"/>
          <w:szCs w:val="24"/>
        </w:rPr>
        <w:t>Благовещенского</w:t>
      </w:r>
      <w:r w:rsidR="00DC50D7" w:rsidRPr="00E0277C">
        <w:rPr>
          <w:rFonts w:ascii="Times New Roman" w:eastAsia="Calibri" w:hAnsi="Times New Roman" w:cs="Times New Roman"/>
          <w:sz w:val="24"/>
          <w:szCs w:val="24"/>
        </w:rPr>
        <w:t xml:space="preserve"> поссовета </w:t>
      </w:r>
    </w:p>
    <w:p w:rsidR="00DC50D7" w:rsidRPr="00E0277C" w:rsidRDefault="00412144" w:rsidP="00DC50D7">
      <w:pPr>
        <w:keepNext/>
        <w:keepLines/>
        <w:spacing w:line="259" w:lineRule="auto"/>
        <w:ind w:left="383" w:right="-1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027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BD3335" w:rsidRPr="00E0277C">
        <w:rPr>
          <w:rFonts w:ascii="Times New Roman" w:eastAsia="Calibri" w:hAnsi="Times New Roman" w:cs="Times New Roman"/>
          <w:sz w:val="24"/>
          <w:szCs w:val="24"/>
        </w:rPr>
        <w:t>о</w:t>
      </w:r>
      <w:r w:rsidR="00DC50D7" w:rsidRPr="00E0277C">
        <w:rPr>
          <w:rFonts w:ascii="Times New Roman" w:eastAsia="Calibri" w:hAnsi="Times New Roman" w:cs="Times New Roman"/>
          <w:sz w:val="24"/>
          <w:szCs w:val="24"/>
        </w:rPr>
        <w:t>т</w:t>
      </w:r>
      <w:r w:rsidR="004C45C4" w:rsidRPr="00E0277C">
        <w:rPr>
          <w:rFonts w:ascii="Times New Roman" w:eastAsia="Calibri" w:hAnsi="Times New Roman" w:cs="Times New Roman"/>
          <w:sz w:val="24"/>
          <w:szCs w:val="24"/>
        </w:rPr>
        <w:t xml:space="preserve"> 02.12</w:t>
      </w:r>
      <w:r w:rsidR="00A97E61" w:rsidRPr="00E0277C">
        <w:rPr>
          <w:rFonts w:ascii="Times New Roman" w:eastAsia="Calibri" w:hAnsi="Times New Roman" w:cs="Times New Roman"/>
          <w:sz w:val="24"/>
          <w:szCs w:val="24"/>
        </w:rPr>
        <w:t>.2025</w:t>
      </w:r>
      <w:r w:rsidR="0083573C" w:rsidRPr="00E02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1B24" w:rsidRPr="00E0277C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="00DC50D7" w:rsidRPr="00E0277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83573C" w:rsidRPr="00E027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0217">
        <w:rPr>
          <w:rFonts w:ascii="Times New Roman" w:eastAsia="Calibri" w:hAnsi="Times New Roman" w:cs="Times New Roman"/>
          <w:sz w:val="24"/>
          <w:szCs w:val="24"/>
        </w:rPr>
        <w:t>428</w:t>
      </w:r>
      <w:bookmarkStart w:id="0" w:name="_GoBack"/>
      <w:bookmarkEnd w:id="0"/>
    </w:p>
    <w:p w:rsidR="00DC50D7" w:rsidRPr="00E0277C" w:rsidRDefault="00DC50D7" w:rsidP="00DC50D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77C">
        <w:rPr>
          <w:rFonts w:ascii="Times New Roman" w:eastAsia="Times New Roman" w:hAnsi="Times New Roman" w:cs="Times New Roman"/>
          <w:b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692C94" w:rsidRPr="00E0277C">
        <w:rPr>
          <w:rFonts w:ascii="Times New Roman" w:eastAsia="Times New Roman" w:hAnsi="Times New Roman" w:cs="Times New Roman"/>
          <w:b/>
          <w:sz w:val="24"/>
          <w:szCs w:val="24"/>
        </w:rPr>
        <w:t xml:space="preserve"> жилищного</w:t>
      </w:r>
      <w:r w:rsidR="00AB297D" w:rsidRPr="00E027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2C94" w:rsidRPr="00E0277C">
        <w:rPr>
          <w:rFonts w:ascii="Times New Roman" w:eastAsia="Times New Roman" w:hAnsi="Times New Roman" w:cs="Times New Roman"/>
          <w:b/>
          <w:sz w:val="24"/>
          <w:szCs w:val="24"/>
        </w:rPr>
        <w:t>контроля</w:t>
      </w:r>
      <w:r w:rsidRPr="00E0277C">
        <w:rPr>
          <w:rFonts w:ascii="Times New Roman" w:eastAsia="Times New Roman" w:hAnsi="Times New Roman" w:cs="Times New Roman"/>
          <w:b/>
          <w:sz w:val="24"/>
          <w:szCs w:val="24"/>
        </w:rPr>
        <w:t xml:space="preserve"> на территории муниципального образования</w:t>
      </w:r>
      <w:r w:rsidR="00BD3335" w:rsidRPr="00E0277C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городское поселение</w:t>
      </w:r>
      <w:r w:rsidRPr="00E027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927AD" w:rsidRPr="00E0277C">
        <w:rPr>
          <w:rFonts w:ascii="Times New Roman" w:hAnsi="Times New Roman" w:cs="Times New Roman"/>
          <w:b/>
          <w:sz w:val="24"/>
          <w:szCs w:val="24"/>
        </w:rPr>
        <w:t>Благовещенский</w:t>
      </w:r>
      <w:r w:rsidRPr="00E0277C">
        <w:rPr>
          <w:rFonts w:ascii="Times New Roman" w:hAnsi="Times New Roman" w:cs="Times New Roman"/>
          <w:b/>
          <w:sz w:val="24"/>
          <w:szCs w:val="24"/>
        </w:rPr>
        <w:t xml:space="preserve"> поссовет Благовещенского района Алтайского края</w:t>
      </w:r>
      <w:r w:rsidR="0083573C" w:rsidRPr="00E0277C">
        <w:rPr>
          <w:rFonts w:ascii="Times New Roman" w:eastAsia="Calibri" w:hAnsi="Times New Roman" w:cs="Times New Roman"/>
          <w:b/>
          <w:sz w:val="24"/>
          <w:szCs w:val="24"/>
        </w:rPr>
        <w:t xml:space="preserve"> на </w:t>
      </w:r>
      <w:r w:rsidRPr="00E0277C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A97E61" w:rsidRPr="00E0277C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83573C" w:rsidRPr="00E0277C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70"/>
        <w:gridCol w:w="6575"/>
      </w:tblGrid>
      <w:tr w:rsidR="00FB655A" w:rsidRPr="00E0277C" w:rsidTr="000A63B4">
        <w:tc>
          <w:tcPr>
            <w:tcW w:w="2770" w:type="dxa"/>
          </w:tcPr>
          <w:p w:rsidR="00FB655A" w:rsidRPr="00E0277C" w:rsidRDefault="00FB655A" w:rsidP="000A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575" w:type="dxa"/>
          </w:tcPr>
          <w:p w:rsidR="00FB655A" w:rsidRPr="00E0277C" w:rsidRDefault="00FB655A" w:rsidP="000A6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(ущерба) причинения вреда охраняемым законом ценностям по муниципальному жилищному контролю на территории</w:t>
            </w:r>
            <w:r w:rsidR="0069217E"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BD3335"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="0069217E"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27AD" w:rsidRPr="00E0277C">
              <w:rPr>
                <w:rFonts w:ascii="Times New Roman" w:hAnsi="Times New Roman" w:cs="Times New Roman"/>
                <w:sz w:val="24"/>
                <w:szCs w:val="24"/>
              </w:rPr>
              <w:t>Благовещенский</w:t>
            </w:r>
            <w:r w:rsidR="0069217E"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 на</w:t>
            </w:r>
            <w:r w:rsidR="0083573C"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7E61" w:rsidRPr="00E027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FB655A" w:rsidRPr="00E0277C" w:rsidRDefault="00FB655A" w:rsidP="000A6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5A" w:rsidRPr="00E0277C" w:rsidTr="000A63B4">
        <w:tc>
          <w:tcPr>
            <w:tcW w:w="2770" w:type="dxa"/>
          </w:tcPr>
          <w:p w:rsidR="00FB655A" w:rsidRPr="00E0277C" w:rsidRDefault="00FB655A" w:rsidP="000A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575" w:type="dxa"/>
          </w:tcPr>
          <w:p w:rsidR="00FB655A" w:rsidRPr="00E0277C" w:rsidRDefault="004927AD" w:rsidP="000A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Администрация Благовещенского</w:t>
            </w:r>
            <w:r w:rsidR="00630BB0"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поссовета Благовещенского района Алтайского края</w:t>
            </w:r>
          </w:p>
        </w:tc>
      </w:tr>
      <w:tr w:rsidR="00FB655A" w:rsidRPr="00E0277C" w:rsidTr="000A63B4">
        <w:tc>
          <w:tcPr>
            <w:tcW w:w="2770" w:type="dxa"/>
          </w:tcPr>
          <w:p w:rsidR="00FB655A" w:rsidRPr="00E0277C" w:rsidRDefault="00FB655A" w:rsidP="000A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Правовые основания</w:t>
            </w:r>
          </w:p>
          <w:p w:rsidR="00FB655A" w:rsidRPr="00E0277C" w:rsidRDefault="00FB655A" w:rsidP="000A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6575" w:type="dxa"/>
          </w:tcPr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закон от 31.07.2020 №248-ФЗ "О</w:t>
            </w:r>
            <w:r w:rsidRPr="00E02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государственном контроле (надзоре) и муниципальном контроле в Российской Федерации" (далее - Закон № 248-ФЗ).</w:t>
            </w:r>
          </w:p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Постановление Правительства РФ от 25.06.2021                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      </w:r>
          </w:p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5A" w:rsidRPr="00E0277C" w:rsidTr="000A63B4">
        <w:tc>
          <w:tcPr>
            <w:tcW w:w="2770" w:type="dxa"/>
          </w:tcPr>
          <w:p w:rsidR="00FB655A" w:rsidRPr="00E0277C" w:rsidRDefault="00FB655A" w:rsidP="000A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575" w:type="dxa"/>
          </w:tcPr>
          <w:p w:rsidR="00FB655A" w:rsidRPr="00E0277C" w:rsidRDefault="00FB655A" w:rsidP="000A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FB655A" w:rsidRPr="00E0277C" w:rsidRDefault="00FB655A" w:rsidP="000A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2. Повышение эффективности защиты прав граждан.</w:t>
            </w:r>
          </w:p>
          <w:p w:rsidR="00FB655A" w:rsidRPr="00E0277C" w:rsidRDefault="00FB655A" w:rsidP="000A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3. Повышение результативности и эффективности контрольной деятельности по муниципальному жилищному контролю.</w:t>
            </w:r>
          </w:p>
          <w:p w:rsidR="00FB655A" w:rsidRPr="00E0277C" w:rsidRDefault="00FB655A" w:rsidP="000A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FB655A" w:rsidRPr="00E0277C" w:rsidTr="000A63B4">
        <w:tc>
          <w:tcPr>
            <w:tcW w:w="2770" w:type="dxa"/>
          </w:tcPr>
          <w:p w:rsidR="00FB655A" w:rsidRPr="00E0277C" w:rsidRDefault="00FB655A" w:rsidP="000A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575" w:type="dxa"/>
          </w:tcPr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1. Предотвращение рисков причинения вреда охраняемым законом ценностям.</w:t>
            </w:r>
            <w:r w:rsidRPr="00E0277C">
              <w:rPr>
                <w:rFonts w:ascii="Times New Roman" w:hAnsi="Times New Roman" w:cs="Times New Roman"/>
                <w:sz w:val="24"/>
                <w:szCs w:val="24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E0277C">
              <w:rPr>
                <w:rFonts w:ascii="Times New Roman" w:hAnsi="Times New Roman" w:cs="Times New Roman"/>
                <w:sz w:val="24"/>
                <w:szCs w:val="24"/>
              </w:rPr>
              <w:br/>
              <w:t>охраняемым законом ценностям.</w:t>
            </w:r>
            <w:r w:rsidRPr="00E027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Информирование, консультирование контролируемых лиц с использованием информационно </w:t>
            </w:r>
            <w:proofErr w:type="gramStart"/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елекоммуникационных технологий.</w:t>
            </w:r>
          </w:p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FB655A" w:rsidRPr="00E0277C" w:rsidTr="000A63B4">
        <w:tc>
          <w:tcPr>
            <w:tcW w:w="2770" w:type="dxa"/>
          </w:tcPr>
          <w:p w:rsidR="00FB655A" w:rsidRPr="00E0277C" w:rsidRDefault="00FB655A" w:rsidP="000A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6575" w:type="dxa"/>
          </w:tcPr>
          <w:p w:rsidR="00FB655A" w:rsidRPr="00E0277C" w:rsidRDefault="00FB655A" w:rsidP="00630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7E61" w:rsidRPr="00E027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FB655A" w:rsidRPr="00E0277C" w:rsidTr="000A63B4">
        <w:tc>
          <w:tcPr>
            <w:tcW w:w="2770" w:type="dxa"/>
          </w:tcPr>
          <w:p w:rsidR="00FB655A" w:rsidRPr="00E0277C" w:rsidRDefault="00FB655A" w:rsidP="000A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575" w:type="dxa"/>
          </w:tcPr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жилищному контролю.</w:t>
            </w:r>
          </w:p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4. Развитие системы профилактических мероприятий контрольного органа.</w:t>
            </w:r>
          </w:p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6. Повышение прозрачности деятельности контрольного органа.</w:t>
            </w:r>
          </w:p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8. Снижение количества нарушений в деятельности физических лиц, юридических лиц, индивидуальных предпринимателей; </w:t>
            </w:r>
          </w:p>
          <w:p w:rsidR="00FB655A" w:rsidRPr="00E0277C" w:rsidRDefault="00FB655A" w:rsidP="000A63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жилищного контроля.</w:t>
            </w:r>
          </w:p>
          <w:p w:rsidR="00FB655A" w:rsidRPr="00E0277C" w:rsidRDefault="00FB655A" w:rsidP="000A63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10. Повышение прозрачности системы контрольной деятельности.</w:t>
            </w:r>
          </w:p>
        </w:tc>
      </w:tr>
    </w:tbl>
    <w:p w:rsidR="00FB655A" w:rsidRPr="00E0277C" w:rsidRDefault="00FB655A" w:rsidP="00FB655A">
      <w:pPr>
        <w:rPr>
          <w:rFonts w:ascii="Times New Roman" w:hAnsi="Times New Roman" w:cs="Times New Roman"/>
          <w:b/>
          <w:sz w:val="24"/>
          <w:szCs w:val="24"/>
        </w:rPr>
      </w:pPr>
    </w:p>
    <w:p w:rsidR="00FB655A" w:rsidRPr="00E0277C" w:rsidRDefault="00FB655A" w:rsidP="00FB655A">
      <w:pPr>
        <w:rPr>
          <w:rFonts w:ascii="Times New Roman" w:hAnsi="Times New Roman" w:cs="Times New Roman"/>
          <w:b/>
          <w:sz w:val="24"/>
          <w:szCs w:val="24"/>
        </w:rPr>
      </w:pPr>
    </w:p>
    <w:p w:rsidR="00FB655A" w:rsidRPr="00E0277C" w:rsidRDefault="00FB655A" w:rsidP="00FB65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77C">
        <w:rPr>
          <w:rFonts w:ascii="Times New Roman" w:hAnsi="Times New Roman" w:cs="Times New Roman"/>
          <w:b/>
          <w:sz w:val="24"/>
          <w:szCs w:val="24"/>
        </w:rPr>
        <w:t>1. Анализ текущего состояния осуществления</w:t>
      </w:r>
      <w:r w:rsidR="00D71E18" w:rsidRPr="00E02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77C">
        <w:rPr>
          <w:rFonts w:ascii="Times New Roman" w:hAnsi="Times New Roman" w:cs="Times New Roman"/>
          <w:b/>
          <w:sz w:val="24"/>
          <w:szCs w:val="24"/>
        </w:rPr>
        <w:t>муниципального жилищного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FB655A" w:rsidRPr="00E0277C" w:rsidRDefault="00FB655A" w:rsidP="00FB655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 xml:space="preserve">1. Программа профилактики рисков причинения вреда (ущерба) охраняемым законом ценностям по муниципальному жилищному контролю на территории </w:t>
      </w:r>
      <w:r w:rsidR="004927AD" w:rsidRPr="00E0277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D3335" w:rsidRPr="00E0277C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4927AD" w:rsidRPr="00E0277C">
        <w:rPr>
          <w:rFonts w:ascii="Times New Roman" w:hAnsi="Times New Roman" w:cs="Times New Roman"/>
          <w:sz w:val="24"/>
          <w:szCs w:val="24"/>
        </w:rPr>
        <w:t xml:space="preserve"> Благовещенский</w:t>
      </w:r>
      <w:r w:rsidR="0069217E" w:rsidRPr="00E0277C">
        <w:rPr>
          <w:rFonts w:ascii="Times New Roman" w:hAnsi="Times New Roman" w:cs="Times New Roman"/>
          <w:sz w:val="24"/>
          <w:szCs w:val="24"/>
        </w:rPr>
        <w:t xml:space="preserve"> поссовет Благовещенского района Алтайского края</w:t>
      </w:r>
      <w:r w:rsidRPr="00E0277C">
        <w:rPr>
          <w:rFonts w:ascii="Times New Roman" w:hAnsi="Times New Roman" w:cs="Times New Roman"/>
          <w:sz w:val="24"/>
          <w:szCs w:val="24"/>
        </w:rPr>
        <w:t xml:space="preserve"> на 202</w:t>
      </w:r>
      <w:r w:rsidR="00A97E61" w:rsidRPr="00E0277C">
        <w:rPr>
          <w:rFonts w:ascii="Times New Roman" w:hAnsi="Times New Roman" w:cs="Times New Roman"/>
          <w:sz w:val="24"/>
          <w:szCs w:val="24"/>
        </w:rPr>
        <w:t>6</w:t>
      </w:r>
      <w:r w:rsidRPr="00E0277C">
        <w:rPr>
          <w:rFonts w:ascii="Times New Roman" w:hAnsi="Times New Roman" w:cs="Times New Roman"/>
          <w:sz w:val="24"/>
          <w:szCs w:val="24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2. Подконтрольные субъекты –</w:t>
      </w:r>
      <w:r w:rsidR="00F21996" w:rsidRPr="00E0277C">
        <w:rPr>
          <w:rFonts w:ascii="Times New Roman" w:hAnsi="Times New Roman" w:cs="Times New Roman"/>
          <w:sz w:val="24"/>
          <w:szCs w:val="24"/>
        </w:rPr>
        <w:t xml:space="preserve"> </w:t>
      </w:r>
      <w:r w:rsidRPr="00E0277C">
        <w:rPr>
          <w:rFonts w:ascii="Times New Roman" w:hAnsi="Times New Roman" w:cs="Times New Roman"/>
          <w:sz w:val="24"/>
          <w:szCs w:val="24"/>
        </w:rPr>
        <w:t>физические лица, юридические лица, индивидуальные предприниматели, осуществляющие эксплуатацию жилищного фонда.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lastRenderedPageBreak/>
        <w:t xml:space="preserve">3. Профилактическое сопровождение контролируемых лиц в текущем периоде направлено </w:t>
      </w:r>
      <w:proofErr w:type="gramStart"/>
      <w:r w:rsidRPr="00E0277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0277C">
        <w:rPr>
          <w:rFonts w:ascii="Times New Roman" w:hAnsi="Times New Roman" w:cs="Times New Roman"/>
          <w:sz w:val="24"/>
          <w:szCs w:val="24"/>
        </w:rPr>
        <w:t>: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 xml:space="preserve">- информирование о результатах проверок и принятых контролируемыми лицами мерах по устранению выявленных нарушений; 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- обсуждение правоприменительной практики за соблюдением контролируемыми лицами требований законодательства.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4. По результатам контрольных мероприятий, проведенных в текущем периоде, наиболее значимыми проблемами являются: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-несоблюдение юридическими лицами (управляющими компаниями) требований, в части содержания общего имущества.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5.Описание ключевых наиболее значимых рисков.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Вероятность нарушения физическими лицами, юридическими лицами, индивидуальными предпринимателями, установленных требований законодательства в сфере муниципального жилищного контроля.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6. Описание текущей и ожидаемой тенденций, которые могут оказать воздействие на состояние подконтрольной сферы.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Совершенствование нормативной правовой базы в области осуществления деятельности по муниципальному жилищному контролю,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жилищного контроля.</w:t>
      </w:r>
    </w:p>
    <w:p w:rsidR="00FB655A" w:rsidRPr="00E0277C" w:rsidRDefault="00FB655A" w:rsidP="00E027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55A" w:rsidRPr="00E0277C" w:rsidRDefault="00FB655A" w:rsidP="00067D7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77C">
        <w:rPr>
          <w:rFonts w:ascii="Times New Roman" w:hAnsi="Times New Roman" w:cs="Times New Roman"/>
          <w:b/>
          <w:sz w:val="24"/>
          <w:szCs w:val="24"/>
        </w:rPr>
        <w:t>2. Цели и задачи реализации программы профилактики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Целями реализации программы являются: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2. Повышение эффективности защиты прав граждан.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3. Повышение результативности и эффективности контрольной деятельности в сфере муниципального жилищного контроля.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 xml:space="preserve">Для достижения целей необходимо решение следующих задач: 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lastRenderedPageBreak/>
        <w:t>5. Предотвращение рисков причинения вреда (ущерба) охраняемым законом ценностям.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6. Проведение профилактических мероприятий, направленных на предотвращение причинения вреда охраняемым законом ценностям.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7. Информирование, консультирование контролируемых лиц с использованием информационно – телекоммуникационных технологий.</w:t>
      </w:r>
    </w:p>
    <w:p w:rsidR="00FB655A" w:rsidRPr="00E0277C" w:rsidRDefault="00FB655A" w:rsidP="00FB65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8. Обеспечение доступности информации об обязательных требованиях и необходимых мерах по их исполнению.</w:t>
      </w:r>
    </w:p>
    <w:p w:rsidR="00067D7E" w:rsidRPr="00E0277C" w:rsidRDefault="00FB655A" w:rsidP="00067D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9.Определение перечня видов и сбор статистических данных, необходимых для организации профилактической работы.</w:t>
      </w:r>
    </w:p>
    <w:p w:rsidR="00630BB0" w:rsidRPr="00E0277C" w:rsidRDefault="00630BB0" w:rsidP="00630BB0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E0277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630BB0" w:rsidRPr="00E0277C" w:rsidRDefault="00630BB0" w:rsidP="00630BB0">
      <w:pPr>
        <w:adjustRightInd w:val="0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Таблица 1</w:t>
      </w:r>
    </w:p>
    <w:p w:rsidR="00630BB0" w:rsidRPr="00E0277C" w:rsidRDefault="00630BB0" w:rsidP="00630BB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00" w:type="dxa"/>
        <w:tblInd w:w="-8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"/>
        <w:gridCol w:w="5814"/>
        <w:gridCol w:w="1984"/>
        <w:gridCol w:w="2196"/>
      </w:tblGrid>
      <w:tr w:rsidR="00630BB0" w:rsidRPr="00E0277C" w:rsidTr="00BD3335">
        <w:trPr>
          <w:trHeight w:hRule="exact" w:val="11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BB0" w:rsidRPr="00E0277C" w:rsidRDefault="00630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 </w:t>
            </w:r>
            <w:proofErr w:type="gramStart"/>
            <w:r w:rsidRPr="00E027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027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630BB0" w:rsidRPr="00E0277C" w:rsidRDefault="00630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BB0" w:rsidRPr="00E0277C" w:rsidRDefault="00630BB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630BB0" w:rsidRPr="00E0277C" w:rsidRDefault="00630BB0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BB0" w:rsidRPr="00E0277C" w:rsidRDefault="00630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0BB0" w:rsidRPr="00E0277C" w:rsidRDefault="00630B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630BB0" w:rsidRPr="00E0277C" w:rsidTr="00BD3335">
        <w:trPr>
          <w:trHeight w:hRule="exact" w:val="1416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BB0" w:rsidRPr="00E0277C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630BB0" w:rsidRPr="00E0277C" w:rsidRDefault="00630BB0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</w:t>
            </w:r>
            <w:r w:rsidR="004927AD" w:rsidRPr="00E0277C">
              <w:rPr>
                <w:rFonts w:ascii="Times New Roman" w:hAnsi="Times New Roman" w:cs="Times New Roman"/>
                <w:sz w:val="24"/>
                <w:szCs w:val="24"/>
              </w:rPr>
              <w:t>те Администрации Благовещенского</w:t>
            </w: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 поссовета</w:t>
            </w:r>
          </w:p>
          <w:p w:rsidR="00630BB0" w:rsidRPr="00E0277C" w:rsidRDefault="00630BB0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1.Текстов нормативных правовых актов, регулирующих осуществление муниципального контроля.</w:t>
            </w:r>
          </w:p>
          <w:p w:rsidR="00630BB0" w:rsidRPr="00E0277C" w:rsidRDefault="00630BB0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2.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630BB0" w:rsidRPr="00E0277C" w:rsidRDefault="00630BB0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3.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редакции.</w:t>
            </w:r>
          </w:p>
          <w:p w:rsidR="00630BB0" w:rsidRPr="00E0277C" w:rsidRDefault="00630BB0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4.Программы профилактики рисков причинения вреда.</w:t>
            </w:r>
          </w:p>
          <w:p w:rsidR="00630BB0" w:rsidRPr="00E0277C" w:rsidRDefault="00630BB0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5. Сведений о способах получения консультаций по вопросам соблюдения обязательных требований.</w:t>
            </w:r>
          </w:p>
          <w:p w:rsidR="00630BB0" w:rsidRPr="00E0277C" w:rsidRDefault="00630BB0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keepNext/>
              <w:keepLines/>
              <w:spacing w:line="256" w:lineRule="auto"/>
              <w:ind w:right="27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6.Перечень сведений, которые могут запрашиваться у контролируемого лица.</w:t>
            </w:r>
          </w:p>
          <w:p w:rsidR="00630BB0" w:rsidRPr="00E0277C" w:rsidRDefault="00630BB0">
            <w:pPr>
              <w:keepNext/>
              <w:keepLines/>
              <w:spacing w:line="256" w:lineRule="auto"/>
              <w:ind w:right="27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7.Проверочных листов.</w:t>
            </w:r>
          </w:p>
          <w:p w:rsidR="00630BB0" w:rsidRPr="00E0277C" w:rsidRDefault="00630BB0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8. Информации и сведений, выносимых на обсуждение при организации и проведении публичных мероприятий</w:t>
            </w:r>
          </w:p>
          <w:p w:rsidR="00630BB0" w:rsidRPr="00E0277C" w:rsidRDefault="00630BB0">
            <w:pPr>
              <w:keepNext/>
              <w:keepLines/>
              <w:spacing w:line="256" w:lineRule="auto"/>
              <w:ind w:right="27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keepNext/>
              <w:keepLines/>
              <w:spacing w:line="256" w:lineRule="auto"/>
              <w:ind w:right="273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не позднее 20 декабря предшествующего года</w:t>
            </w: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        1 раз в год</w:t>
            </w: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        1 раз в год</w:t>
            </w:r>
          </w:p>
          <w:p w:rsidR="00630BB0" w:rsidRPr="00E0277C" w:rsidRDefault="0063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не позднее 5 рабочих дней после их утверждения</w:t>
            </w: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BB0" w:rsidRPr="00E0277C" w:rsidRDefault="00630BB0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0BB0" w:rsidRPr="00E0277C" w:rsidRDefault="00630BB0" w:rsidP="008841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88416C"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 по архитектуре и градостроительству Администрации поссовета </w:t>
            </w: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0BB0" w:rsidRPr="00E0277C" w:rsidTr="00BD3335">
        <w:trPr>
          <w:trHeight w:hRule="exact" w:val="616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Pr="00E0277C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630BB0" w:rsidRPr="00E0277C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630BB0" w:rsidRPr="00E0277C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Pr="00E0277C" w:rsidRDefault="00630B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Доклад о правоприменительной практике размещается на официальном сайте администрации ежегодно не позднее </w:t>
            </w:r>
            <w:r w:rsidRPr="00E027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 марта года, следующего за отчетным годом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0BB0" w:rsidRPr="00E0277C" w:rsidRDefault="00630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="0088416C" w:rsidRPr="00E0277C">
              <w:rPr>
                <w:rFonts w:ascii="Times New Roman" w:hAnsi="Times New Roman" w:cs="Times New Roman"/>
                <w:sz w:val="24"/>
                <w:szCs w:val="24"/>
              </w:rPr>
              <w:t>по архитектуре и градостроительству Администрации поссовета</w:t>
            </w:r>
          </w:p>
        </w:tc>
      </w:tr>
      <w:tr w:rsidR="00630BB0" w:rsidRPr="00E0277C" w:rsidTr="00BD3335">
        <w:trPr>
          <w:trHeight w:hRule="exact" w:val="419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Pr="00E0277C" w:rsidRDefault="00630BB0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0277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Pr="00E0277C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630BB0" w:rsidRPr="00E0277C" w:rsidRDefault="00630BB0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Pr="00E0277C" w:rsidRDefault="00630BB0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 и не позднее 5 дней после выявленного нарушения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0BB0" w:rsidRPr="00E0277C" w:rsidRDefault="0088416C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Специалист по архитектуре и градостроительству Администрации поссовета</w:t>
            </w:r>
          </w:p>
        </w:tc>
      </w:tr>
      <w:tr w:rsidR="00630BB0" w:rsidRPr="00E0277C" w:rsidTr="00BD3335">
        <w:trPr>
          <w:trHeight w:hRule="exact" w:val="7946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Pr="00E0277C" w:rsidRDefault="00630BB0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Pr="00E0277C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630BB0" w:rsidRPr="00E0277C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 </w:t>
            </w:r>
          </w:p>
          <w:p w:rsidR="00630BB0" w:rsidRPr="00E0277C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вопросов, по которым проводится консультирование: </w:t>
            </w:r>
          </w:p>
          <w:p w:rsidR="00630BB0" w:rsidRPr="00E0277C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и осуществление муниципального контроля. </w:t>
            </w:r>
          </w:p>
          <w:p w:rsidR="00630BB0" w:rsidRPr="00E0277C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осуществления контрольных мероприятий, установленных Положением о муниципальном контроле. </w:t>
            </w:r>
          </w:p>
          <w:p w:rsidR="00630BB0" w:rsidRPr="00E0277C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3.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реализации контрольных мероприятий.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Pr="00E0277C" w:rsidRDefault="00630BB0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0BB0" w:rsidRPr="00E0277C" w:rsidRDefault="0088416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Специалист по архитектуре и градостроительству Администрации поссовета</w:t>
            </w:r>
          </w:p>
        </w:tc>
      </w:tr>
      <w:tr w:rsidR="00630BB0" w:rsidRPr="00E0277C" w:rsidTr="00BD3335">
        <w:trPr>
          <w:trHeight w:hRule="exact" w:val="345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0BB0" w:rsidRPr="00E0277C" w:rsidRDefault="00630BB0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630BB0" w:rsidRPr="00E0277C" w:rsidRDefault="00630BB0">
            <w:pPr>
              <w:widowControl w:val="0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Pr="00E0277C" w:rsidRDefault="00630BB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30BB0" w:rsidRPr="00E0277C" w:rsidRDefault="00630B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Не реже 1 раза  в год</w:t>
            </w:r>
          </w:p>
          <w:p w:rsidR="00630BB0" w:rsidRPr="00E0277C" w:rsidRDefault="00630BB0">
            <w:pPr>
              <w:shd w:val="clear" w:color="auto" w:fill="FFFFFF"/>
              <w:spacing w:line="288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 xml:space="preserve"> квартал – детский сад, школа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0BB0" w:rsidRPr="00E0277C" w:rsidRDefault="0088416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Специалист по архитектуре и градостроительству Администрации поссовета</w:t>
            </w:r>
          </w:p>
        </w:tc>
      </w:tr>
    </w:tbl>
    <w:p w:rsidR="00FB655A" w:rsidRPr="00E0277C" w:rsidRDefault="00FB655A" w:rsidP="00FB655A">
      <w:pPr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B655A" w:rsidRPr="00E0277C" w:rsidRDefault="00FB655A" w:rsidP="00E0277C">
      <w:pPr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0277C">
        <w:rPr>
          <w:rFonts w:ascii="Times New Roman" w:hAnsi="Times New Roman" w:cs="Times New Roman"/>
          <w:b/>
          <w:sz w:val="24"/>
          <w:szCs w:val="24"/>
        </w:rPr>
        <w:t xml:space="preserve">4. Показатель результативности и эффективности </w:t>
      </w:r>
      <w:proofErr w:type="gramStart"/>
      <w:r w:rsidRPr="00E0277C">
        <w:rPr>
          <w:rFonts w:ascii="Times New Roman" w:hAnsi="Times New Roman" w:cs="Times New Roman"/>
          <w:b/>
          <w:sz w:val="24"/>
          <w:szCs w:val="24"/>
        </w:rPr>
        <w:t>программы профилактики рисков причинения вреда</w:t>
      </w:r>
      <w:proofErr w:type="gramEnd"/>
      <w:r w:rsidRPr="00E0277C">
        <w:rPr>
          <w:rFonts w:ascii="Times New Roman" w:hAnsi="Times New Roman" w:cs="Times New Roman"/>
          <w:b/>
          <w:sz w:val="24"/>
          <w:szCs w:val="24"/>
        </w:rPr>
        <w:t>.</w:t>
      </w:r>
    </w:p>
    <w:p w:rsidR="00FB655A" w:rsidRPr="00E0277C" w:rsidRDefault="00FB655A" w:rsidP="00FB655A">
      <w:pPr>
        <w:adjustRightInd w:val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Реализация программы профилактики способствует:</w:t>
      </w:r>
    </w:p>
    <w:p w:rsidR="00FB655A" w:rsidRPr="00E0277C" w:rsidRDefault="00FB655A" w:rsidP="00FB655A">
      <w:pPr>
        <w:adjustRightInd w:val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1. Увеличению доли контролируемых лиц, соблюдающих обязательные</w:t>
      </w:r>
    </w:p>
    <w:p w:rsidR="00FB655A" w:rsidRPr="00E0277C" w:rsidRDefault="00FB655A" w:rsidP="00FB655A">
      <w:pPr>
        <w:adjustRightInd w:val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требования законодательства в сфере муниципального жилищного контроля.</w:t>
      </w:r>
    </w:p>
    <w:p w:rsidR="00FB655A" w:rsidRPr="00E0277C" w:rsidRDefault="00FB655A" w:rsidP="00FB655A">
      <w:pPr>
        <w:adjustRightInd w:val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 xml:space="preserve">2. Развитию системы профилактических мероприятий, проводимых </w:t>
      </w:r>
      <w:r w:rsidR="00EA2644" w:rsidRPr="00E0277C">
        <w:rPr>
          <w:rFonts w:ascii="Times New Roman" w:hAnsi="Times New Roman" w:cs="Times New Roman"/>
          <w:sz w:val="24"/>
          <w:szCs w:val="24"/>
        </w:rPr>
        <w:t>Администрацией поссовета</w:t>
      </w:r>
    </w:p>
    <w:p w:rsidR="00FB655A" w:rsidRPr="00E0277C" w:rsidRDefault="00FB655A" w:rsidP="00630BB0">
      <w:pPr>
        <w:adjustRightInd w:val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lastRenderedPageBreak/>
        <w:t>Оценка эффективности реализации программы по итогам года осуществляется по следующим показателям.</w:t>
      </w:r>
    </w:p>
    <w:p w:rsidR="00FB655A" w:rsidRPr="00E0277C" w:rsidRDefault="00FB655A" w:rsidP="00FB655A">
      <w:pPr>
        <w:adjustRightInd w:val="0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Таблица 2</w:t>
      </w:r>
    </w:p>
    <w:p w:rsidR="00FB655A" w:rsidRPr="00E0277C" w:rsidRDefault="00FB655A" w:rsidP="00FB655A">
      <w:pPr>
        <w:adjustRightInd w:val="0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1531"/>
        <w:gridCol w:w="283"/>
      </w:tblGrid>
      <w:tr w:rsidR="00FB655A" w:rsidRPr="00E0277C" w:rsidTr="0083573C">
        <w:trPr>
          <w:trHeight w:val="270"/>
        </w:trPr>
        <w:tc>
          <w:tcPr>
            <w:tcW w:w="6374" w:type="dxa"/>
            <w:vMerge w:val="restart"/>
          </w:tcPr>
          <w:p w:rsidR="00FB655A" w:rsidRPr="00E0277C" w:rsidRDefault="00FB655A" w:rsidP="000A63B4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14" w:type="dxa"/>
            <w:gridSpan w:val="2"/>
          </w:tcPr>
          <w:p w:rsidR="00FB655A" w:rsidRPr="00E0277C" w:rsidRDefault="00FB655A" w:rsidP="000A6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Период, год</w:t>
            </w:r>
          </w:p>
        </w:tc>
      </w:tr>
      <w:tr w:rsidR="00FB655A" w:rsidRPr="00E0277C" w:rsidTr="0083573C">
        <w:trPr>
          <w:trHeight w:val="300"/>
        </w:trPr>
        <w:tc>
          <w:tcPr>
            <w:tcW w:w="6374" w:type="dxa"/>
            <w:vMerge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B655A" w:rsidRPr="00E0277C" w:rsidRDefault="00FB655A" w:rsidP="00630B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97E61" w:rsidRPr="00E027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FB655A" w:rsidRPr="00E0277C" w:rsidRDefault="00FB655A" w:rsidP="00630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5A" w:rsidRPr="00E0277C" w:rsidTr="0083573C">
        <w:tc>
          <w:tcPr>
            <w:tcW w:w="6374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проверок, (ед.)</w:t>
            </w:r>
          </w:p>
        </w:tc>
        <w:tc>
          <w:tcPr>
            <w:tcW w:w="1531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5A" w:rsidRPr="00E0277C" w:rsidTr="0083573C">
        <w:tc>
          <w:tcPr>
            <w:tcW w:w="6374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нарушений по муниципальному жилищному контролю подконтрольными субъектами, (ед.)</w:t>
            </w:r>
          </w:p>
        </w:tc>
        <w:tc>
          <w:tcPr>
            <w:tcW w:w="1531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5A" w:rsidRPr="00E0277C" w:rsidTr="0083573C">
        <w:tc>
          <w:tcPr>
            <w:tcW w:w="6374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1531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55A" w:rsidRPr="00E0277C" w:rsidTr="0083573C">
        <w:tc>
          <w:tcPr>
            <w:tcW w:w="6374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(публикаций) по информированию населения о требованиях муниципального жилищного контроля, (ед.)</w:t>
            </w:r>
          </w:p>
        </w:tc>
        <w:tc>
          <w:tcPr>
            <w:tcW w:w="1531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55A" w:rsidRPr="00E0277C" w:rsidRDefault="00FB655A" w:rsidP="00FB655A">
      <w:pPr>
        <w:adjustRightInd w:val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B655A" w:rsidRPr="00E0277C" w:rsidRDefault="00FB655A" w:rsidP="00FB655A">
      <w:pPr>
        <w:adjustRightInd w:val="0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Для оценки эффективности и результативности программы используются следующие показатели, таблица № 3.</w:t>
      </w:r>
    </w:p>
    <w:p w:rsidR="00FB655A" w:rsidRPr="00E0277C" w:rsidRDefault="00FB655A" w:rsidP="00FB655A">
      <w:pPr>
        <w:adjustRightInd w:val="0"/>
        <w:ind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0277C">
        <w:rPr>
          <w:rFonts w:ascii="Times New Roman" w:hAnsi="Times New Roman" w:cs="Times New Roman"/>
          <w:sz w:val="24"/>
          <w:szCs w:val="24"/>
        </w:rPr>
        <w:t>Таблица 3</w:t>
      </w:r>
    </w:p>
    <w:p w:rsidR="00FB655A" w:rsidRPr="00E0277C" w:rsidRDefault="00FB655A" w:rsidP="00FB655A">
      <w:pPr>
        <w:adjustRightInd w:val="0"/>
        <w:ind w:firstLine="708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FB655A" w:rsidRPr="00E0277C" w:rsidTr="000A63B4">
        <w:tc>
          <w:tcPr>
            <w:tcW w:w="1869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69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60 % и менее</w:t>
            </w:r>
          </w:p>
        </w:tc>
        <w:tc>
          <w:tcPr>
            <w:tcW w:w="1869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61-85 %</w:t>
            </w:r>
          </w:p>
        </w:tc>
        <w:tc>
          <w:tcPr>
            <w:tcW w:w="1869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86-99 %</w:t>
            </w:r>
          </w:p>
        </w:tc>
        <w:tc>
          <w:tcPr>
            <w:tcW w:w="1869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100% и более</w:t>
            </w:r>
          </w:p>
        </w:tc>
      </w:tr>
      <w:tr w:rsidR="00FB655A" w:rsidRPr="00E0277C" w:rsidTr="000A63B4">
        <w:tc>
          <w:tcPr>
            <w:tcW w:w="1869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</w:p>
        </w:tc>
        <w:tc>
          <w:tcPr>
            <w:tcW w:w="1869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Недопустимый</w:t>
            </w:r>
          </w:p>
        </w:tc>
        <w:tc>
          <w:tcPr>
            <w:tcW w:w="1869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869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</w:tc>
        <w:tc>
          <w:tcPr>
            <w:tcW w:w="1869" w:type="dxa"/>
          </w:tcPr>
          <w:p w:rsidR="00FB655A" w:rsidRPr="00E0277C" w:rsidRDefault="00FB655A" w:rsidP="000A63B4">
            <w:pPr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277C">
              <w:rPr>
                <w:rFonts w:ascii="Times New Roman" w:hAnsi="Times New Roman" w:cs="Times New Roman"/>
                <w:sz w:val="24"/>
                <w:szCs w:val="24"/>
              </w:rPr>
              <w:t>Эффективный</w:t>
            </w:r>
          </w:p>
        </w:tc>
      </w:tr>
    </w:tbl>
    <w:p w:rsidR="00DC50D7" w:rsidRPr="00E0277C" w:rsidRDefault="00DC50D7" w:rsidP="00DC50D7">
      <w:pPr>
        <w:tabs>
          <w:tab w:val="left" w:pos="13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C50D7" w:rsidRPr="00E0277C" w:rsidRDefault="00DC50D7" w:rsidP="00DC50D7">
      <w:pPr>
        <w:tabs>
          <w:tab w:val="left" w:pos="13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C50D7" w:rsidRPr="00E0277C" w:rsidRDefault="00DC50D7" w:rsidP="00A67B2F">
      <w:pPr>
        <w:tabs>
          <w:tab w:val="left" w:pos="130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C50D7" w:rsidRPr="00E0277C" w:rsidRDefault="00DC50D7" w:rsidP="00A67B2F">
      <w:pPr>
        <w:tabs>
          <w:tab w:val="left" w:pos="130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C50D7" w:rsidRPr="00E0277C" w:rsidSect="00630BB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543" w:rsidRDefault="007B1543" w:rsidP="0042284A">
      <w:pPr>
        <w:spacing w:after="0" w:line="240" w:lineRule="auto"/>
      </w:pPr>
      <w:r>
        <w:separator/>
      </w:r>
    </w:p>
  </w:endnote>
  <w:endnote w:type="continuationSeparator" w:id="0">
    <w:p w:rsidR="007B1543" w:rsidRDefault="007B1543" w:rsidP="0042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543" w:rsidRDefault="007B1543" w:rsidP="0042284A">
      <w:pPr>
        <w:spacing w:after="0" w:line="240" w:lineRule="auto"/>
      </w:pPr>
      <w:r>
        <w:separator/>
      </w:r>
    </w:p>
  </w:footnote>
  <w:footnote w:type="continuationSeparator" w:id="0">
    <w:p w:rsidR="007B1543" w:rsidRDefault="007B1543" w:rsidP="00422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47F2"/>
    <w:multiLevelType w:val="multilevel"/>
    <w:tmpl w:val="82F8C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1">
    <w:nsid w:val="2BAB0C88"/>
    <w:multiLevelType w:val="multilevel"/>
    <w:tmpl w:val="D0362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F945EF"/>
    <w:multiLevelType w:val="hybridMultilevel"/>
    <w:tmpl w:val="F8D0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250"/>
    <w:rsid w:val="00032060"/>
    <w:rsid w:val="0003613B"/>
    <w:rsid w:val="000370CF"/>
    <w:rsid w:val="00067D7E"/>
    <w:rsid w:val="00075AD3"/>
    <w:rsid w:val="00095225"/>
    <w:rsid w:val="000A63B4"/>
    <w:rsid w:val="000C6C94"/>
    <w:rsid w:val="00100253"/>
    <w:rsid w:val="001539D3"/>
    <w:rsid w:val="00181067"/>
    <w:rsid w:val="00182A66"/>
    <w:rsid w:val="00197642"/>
    <w:rsid w:val="001B4375"/>
    <w:rsid w:val="001C3A85"/>
    <w:rsid w:val="00210FFC"/>
    <w:rsid w:val="00221A60"/>
    <w:rsid w:val="00237FBB"/>
    <w:rsid w:val="002621BD"/>
    <w:rsid w:val="00263E80"/>
    <w:rsid w:val="002B5346"/>
    <w:rsid w:val="002D1C02"/>
    <w:rsid w:val="002F2B7D"/>
    <w:rsid w:val="00336FCD"/>
    <w:rsid w:val="0034554B"/>
    <w:rsid w:val="00361099"/>
    <w:rsid w:val="00377AA6"/>
    <w:rsid w:val="003A6955"/>
    <w:rsid w:val="003F43BE"/>
    <w:rsid w:val="003F7BD5"/>
    <w:rsid w:val="00412144"/>
    <w:rsid w:val="0042284A"/>
    <w:rsid w:val="004239E8"/>
    <w:rsid w:val="00434F9C"/>
    <w:rsid w:val="00455862"/>
    <w:rsid w:val="00457D26"/>
    <w:rsid w:val="004826D9"/>
    <w:rsid w:val="004927AD"/>
    <w:rsid w:val="004B312F"/>
    <w:rsid w:val="004B32BF"/>
    <w:rsid w:val="004C0017"/>
    <w:rsid w:val="004C45C4"/>
    <w:rsid w:val="004F2BF1"/>
    <w:rsid w:val="005163BB"/>
    <w:rsid w:val="0053475D"/>
    <w:rsid w:val="00534D75"/>
    <w:rsid w:val="0053766F"/>
    <w:rsid w:val="00573186"/>
    <w:rsid w:val="005903E5"/>
    <w:rsid w:val="00594CB3"/>
    <w:rsid w:val="005D7134"/>
    <w:rsid w:val="00630BB0"/>
    <w:rsid w:val="0069217E"/>
    <w:rsid w:val="00692C94"/>
    <w:rsid w:val="00702D0D"/>
    <w:rsid w:val="00711831"/>
    <w:rsid w:val="00775FAB"/>
    <w:rsid w:val="00794722"/>
    <w:rsid w:val="007A4071"/>
    <w:rsid w:val="007B1543"/>
    <w:rsid w:val="007D44B6"/>
    <w:rsid w:val="007E6C41"/>
    <w:rsid w:val="008308A1"/>
    <w:rsid w:val="0083573C"/>
    <w:rsid w:val="0084440C"/>
    <w:rsid w:val="008514D3"/>
    <w:rsid w:val="008712E6"/>
    <w:rsid w:val="0088416C"/>
    <w:rsid w:val="008B7C45"/>
    <w:rsid w:val="008C7DCD"/>
    <w:rsid w:val="008E3B79"/>
    <w:rsid w:val="00900343"/>
    <w:rsid w:val="00911D38"/>
    <w:rsid w:val="0091384B"/>
    <w:rsid w:val="00922FF4"/>
    <w:rsid w:val="00933DD2"/>
    <w:rsid w:val="00940217"/>
    <w:rsid w:val="009403F5"/>
    <w:rsid w:val="009A7117"/>
    <w:rsid w:val="009B3D5A"/>
    <w:rsid w:val="009B4E6C"/>
    <w:rsid w:val="009D096F"/>
    <w:rsid w:val="009D2C60"/>
    <w:rsid w:val="009E6C36"/>
    <w:rsid w:val="00A32807"/>
    <w:rsid w:val="00A3784C"/>
    <w:rsid w:val="00A530AA"/>
    <w:rsid w:val="00A6406B"/>
    <w:rsid w:val="00A67B2F"/>
    <w:rsid w:val="00A930EE"/>
    <w:rsid w:val="00A97E61"/>
    <w:rsid w:val="00AB297D"/>
    <w:rsid w:val="00AC0305"/>
    <w:rsid w:val="00AF0F9B"/>
    <w:rsid w:val="00B2064C"/>
    <w:rsid w:val="00B24AE2"/>
    <w:rsid w:val="00B51B24"/>
    <w:rsid w:val="00B644A7"/>
    <w:rsid w:val="00BC5A4C"/>
    <w:rsid w:val="00BD3335"/>
    <w:rsid w:val="00C026A0"/>
    <w:rsid w:val="00C83250"/>
    <w:rsid w:val="00C97891"/>
    <w:rsid w:val="00CB54A6"/>
    <w:rsid w:val="00CE7107"/>
    <w:rsid w:val="00CF3AED"/>
    <w:rsid w:val="00CF674B"/>
    <w:rsid w:val="00D115E7"/>
    <w:rsid w:val="00D70B90"/>
    <w:rsid w:val="00D71E18"/>
    <w:rsid w:val="00D7345B"/>
    <w:rsid w:val="00D83219"/>
    <w:rsid w:val="00D86E60"/>
    <w:rsid w:val="00D9149B"/>
    <w:rsid w:val="00DA726A"/>
    <w:rsid w:val="00DC50D7"/>
    <w:rsid w:val="00DD5ED5"/>
    <w:rsid w:val="00DE2A89"/>
    <w:rsid w:val="00E01E86"/>
    <w:rsid w:val="00E0277C"/>
    <w:rsid w:val="00E46590"/>
    <w:rsid w:val="00E712CF"/>
    <w:rsid w:val="00E761F1"/>
    <w:rsid w:val="00E81484"/>
    <w:rsid w:val="00E86598"/>
    <w:rsid w:val="00E915CE"/>
    <w:rsid w:val="00EA1EFB"/>
    <w:rsid w:val="00EA2644"/>
    <w:rsid w:val="00EB5BE3"/>
    <w:rsid w:val="00ED3280"/>
    <w:rsid w:val="00ED5942"/>
    <w:rsid w:val="00ED7B4B"/>
    <w:rsid w:val="00EE414B"/>
    <w:rsid w:val="00F21996"/>
    <w:rsid w:val="00F22487"/>
    <w:rsid w:val="00F35B20"/>
    <w:rsid w:val="00F97D4C"/>
    <w:rsid w:val="00FB655A"/>
    <w:rsid w:val="00FB7AD1"/>
    <w:rsid w:val="00FC7346"/>
    <w:rsid w:val="00FE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5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4440C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84440C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8444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4440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84A"/>
  </w:style>
  <w:style w:type="paragraph" w:styleId="a9">
    <w:name w:val="footer"/>
    <w:basedOn w:val="a"/>
    <w:link w:val="aa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84A"/>
  </w:style>
  <w:style w:type="paragraph" w:styleId="ab">
    <w:name w:val="No Spacing"/>
    <w:uiPriority w:val="1"/>
    <w:qFormat/>
    <w:rsid w:val="0042284A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EB5B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5B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FB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45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4440C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84440C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link w:val="ConsPlusNormal1"/>
    <w:rsid w:val="008444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84440C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84A"/>
  </w:style>
  <w:style w:type="paragraph" w:styleId="a9">
    <w:name w:val="footer"/>
    <w:basedOn w:val="a"/>
    <w:link w:val="aa"/>
    <w:uiPriority w:val="99"/>
    <w:unhideWhenUsed/>
    <w:rsid w:val="00422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84A"/>
  </w:style>
  <w:style w:type="paragraph" w:styleId="ab">
    <w:name w:val="No Spacing"/>
    <w:uiPriority w:val="1"/>
    <w:qFormat/>
    <w:rsid w:val="0042284A"/>
    <w:pPr>
      <w:spacing w:after="0" w:line="240" w:lineRule="auto"/>
    </w:pPr>
  </w:style>
  <w:style w:type="paragraph" w:styleId="2">
    <w:name w:val="Body Text 2"/>
    <w:basedOn w:val="a"/>
    <w:link w:val="20"/>
    <w:uiPriority w:val="99"/>
    <w:rsid w:val="00EB5B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B5BE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FB6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2024-11-07T02:42:00Z</cp:lastPrinted>
  <dcterms:created xsi:type="dcterms:W3CDTF">2023-12-13T06:14:00Z</dcterms:created>
  <dcterms:modified xsi:type="dcterms:W3CDTF">2025-12-04T02:24:00Z</dcterms:modified>
</cp:coreProperties>
</file>